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9D1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outlineLvl w:val="5"/>
        <w:rPr>
          <w:rFonts w:ascii="Arial" w:eastAsia="Times New Roman" w:hAnsi="Arial"/>
          <w:b/>
          <w:bCs/>
          <w:color w:val="474747"/>
          <w:sz w:val="24"/>
        </w:rPr>
      </w:pPr>
      <w:r w:rsidRPr="006B165F">
        <w:rPr>
          <w:rFonts w:ascii="Arial" w:eastAsia="Times New Roman" w:hAnsi="Arial"/>
          <w:b/>
          <w:bCs/>
          <w:color w:val="474747"/>
          <w:sz w:val="24"/>
        </w:rPr>
        <w:br/>
      </w:r>
      <w:r w:rsidRPr="006B165F">
        <w:rPr>
          <w:rFonts w:ascii="Arial" w:eastAsia="Times New Roman" w:hAnsi="Arial"/>
          <w:b/>
          <w:bCs/>
          <w:color w:val="474747"/>
          <w:sz w:val="24"/>
          <w:rtl/>
        </w:rPr>
        <w:t>گزارش پایداری</w:t>
      </w:r>
    </w:p>
    <w:p w14:paraId="2B9EBC50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عملکرد پایدار در وهله اول و رشــد و توســعه پایدار در وهله دوم جهت برآورده کردن انتظارات کلیه ذینفعان شــرکت بســیار حائز اهمیت اسـت. شـرکت خدمات دریایی وکشتیرانی خط دریا بندر به منظور اطمینان از رشـد و توسـعه پایدار و افزایش توان ارزش آفرینی در چهار بخش اقداماتی در راستای نیل به اهداف خود انجام داده است</w:t>
      </w:r>
      <w:r w:rsidRPr="006B165F">
        <w:rPr>
          <w:rFonts w:ascii="Arial" w:eastAsia="Times New Roman" w:hAnsi="Arial"/>
          <w:color w:val="333333"/>
          <w:sz w:val="24"/>
        </w:rPr>
        <w:t>:</w:t>
      </w:r>
    </w:p>
    <w:p w14:paraId="03AB042F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الف- عملکرد محیط زیستی</w:t>
      </w:r>
    </w:p>
    <w:p w14:paraId="52CC3E9D" w14:textId="2C90E293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در خصوص عملکرد</w:t>
      </w:r>
      <w:r>
        <w:rPr>
          <w:rFonts w:ascii="Arial" w:eastAsia="Times New Roman" w:hAnsi="Arial" w:hint="cs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م</w:t>
      </w:r>
      <w:r>
        <w:rPr>
          <w:rFonts w:ascii="Arial" w:eastAsia="Times New Roman" w:hAnsi="Arial" w:hint="cs"/>
          <w:color w:val="333333"/>
          <w:sz w:val="24"/>
          <w:rtl/>
        </w:rPr>
        <w:t>ح</w:t>
      </w:r>
      <w:r w:rsidRPr="006B165F">
        <w:rPr>
          <w:rFonts w:ascii="Arial" w:eastAsia="Times New Roman" w:hAnsi="Arial"/>
          <w:color w:val="333333"/>
          <w:sz w:val="24"/>
          <w:rtl/>
        </w:rPr>
        <w:t>یط زیست علاوه بر رعایت موضوع فوق</w:t>
      </w:r>
      <w:r w:rsidRPr="006B165F">
        <w:rPr>
          <w:rFonts w:ascii="Cambria" w:eastAsia="Times New Roman" w:hAnsi="Cambria" w:cs="Cambria" w:hint="cs"/>
          <w:color w:val="333333"/>
          <w:sz w:val="24"/>
          <w:rtl/>
        </w:rPr>
        <w:t> 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شرکت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موارد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ذیل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را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در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دستور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کار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خود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قرار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داده</w:t>
      </w:r>
      <w:r w:rsidRPr="006B165F">
        <w:rPr>
          <w:rFonts w:ascii="Arial" w:eastAsia="Times New Roman" w:hAnsi="Arial"/>
          <w:color w:val="333333"/>
          <w:sz w:val="24"/>
          <w:rtl/>
        </w:rPr>
        <w:t xml:space="preserve"> </w:t>
      </w:r>
      <w:r w:rsidRPr="006B165F">
        <w:rPr>
          <w:rFonts w:ascii="Arial" w:eastAsia="Times New Roman" w:hAnsi="Arial" w:hint="cs"/>
          <w:color w:val="333333"/>
          <w:sz w:val="24"/>
          <w:rtl/>
        </w:rPr>
        <w:t>است</w:t>
      </w:r>
      <w:r w:rsidRPr="006B165F">
        <w:rPr>
          <w:rFonts w:ascii="Arial" w:eastAsia="Times New Roman" w:hAnsi="Arial"/>
          <w:color w:val="333333"/>
          <w:sz w:val="24"/>
        </w:rPr>
        <w:t>:</w:t>
      </w:r>
    </w:p>
    <w:p w14:paraId="516F5301" w14:textId="77777777" w:rsidR="006B165F" w:rsidRDefault="006B165F" w:rsidP="000210D3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استفاده از مواد مصرفی قابل بازیافت و سازگار با طبیعت؛</w:t>
      </w:r>
    </w:p>
    <w:p w14:paraId="60913D0C" w14:textId="77777777" w:rsidR="006B165F" w:rsidRDefault="006B165F" w:rsidP="00143B69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استفاده از سیستم‌های هوشمند جهت بهینه‌سازی مصرف انرژی؛</w:t>
      </w:r>
    </w:p>
    <w:p w14:paraId="007B9C59" w14:textId="77777777" w:rsidR="006B165F" w:rsidRDefault="006B165F" w:rsidP="00F1210F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استفاده از سیستم اتوماسیون اداری و فایل‌های الکترونیکی به منظور کاهش مصرف کاغذ؛</w:t>
      </w:r>
    </w:p>
    <w:p w14:paraId="5CA7CCD5" w14:textId="285FDBAF" w:rsidR="006B165F" w:rsidRPr="006B165F" w:rsidRDefault="006B165F" w:rsidP="006B165F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برقراری رویه مناســب جهت تفکیک زباله‌های قابل بازیافت (از قبیل کاغذ، شیشه و پلاستیک) و واگذاری آن به مراکز تخصصی؛</w:t>
      </w:r>
    </w:p>
    <w:p w14:paraId="2C69ED6F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ب- مسئولیت اجتماعی، بهداشت، آموزش و رفاه کارکنان</w:t>
      </w:r>
    </w:p>
    <w:p w14:paraId="6BB70678" w14:textId="77777777" w:rsidR="006B165F" w:rsidRDefault="006B165F" w:rsidP="0003716C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تاکید بر پرداخت به‌موقع حقوق و دیون دولتی از قبیل مالیات و حق بیمه در راستای رعایت قوانین و مقررات اجرایی؛</w:t>
      </w:r>
    </w:p>
    <w:p w14:paraId="28C5A206" w14:textId="77777777" w:rsidR="006B165F" w:rsidRDefault="006B165F" w:rsidP="00624627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انجام آزمایشات و معاینات دوره‌ای به منظور کنترل سلامت و بهداشت پرسنل؛</w:t>
      </w:r>
    </w:p>
    <w:p w14:paraId="11E0D24B" w14:textId="77777777" w:rsidR="006B165F" w:rsidRDefault="006B165F" w:rsidP="00BD3F91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انعقاد قرارداد پرسنل شرکت با شرکت‌های بیمه‌ای به منظور پوشش بیمه تکمیلی؛</w:t>
      </w:r>
    </w:p>
    <w:p w14:paraId="4268CCCD" w14:textId="77777777" w:rsidR="006B165F" w:rsidRDefault="006B165F" w:rsidP="004E18C4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اکرام و تکریم سهامداران از طریق برگزاری سیستم پاسخگو و نیز پرداخت به‌موقع و کامل مطالبات سهامداران از طریق سامانه سجام؛</w:t>
      </w:r>
    </w:p>
    <w:p w14:paraId="0C3D0104" w14:textId="77777777" w:rsidR="006B165F" w:rsidRDefault="006B165F" w:rsidP="00386E62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رعایت تساوی در حقوق سهامداران و ذینفعان از طریق کیفیت افشا و اطلاع‌رسانی به‌موقع اطلاعات</w:t>
      </w:r>
      <w:r w:rsidRPr="006B165F">
        <w:rPr>
          <w:rFonts w:ascii="Arial" w:eastAsia="Times New Roman" w:hAnsi="Arial"/>
          <w:color w:val="333333"/>
          <w:sz w:val="24"/>
        </w:rPr>
        <w:t>.</w:t>
      </w:r>
    </w:p>
    <w:p w14:paraId="4080034B" w14:textId="77777777" w:rsidR="006B165F" w:rsidRDefault="006B165F" w:rsidP="006657B5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تنظیم برنامه مستمر آموزش پرسنل به منظور ارتقاء در دانش و افزایش کیفیت بهره‌وری، نزد سازمان بورس و اوراق بهادار؛</w:t>
      </w:r>
    </w:p>
    <w:p w14:paraId="4A46F9B0" w14:textId="1DDA72ED" w:rsidR="006B165F" w:rsidRPr="006B165F" w:rsidRDefault="006B165F" w:rsidP="00AD47BC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گزارش عملکرد اجتماعی شرکت شامل کمکهای عام المنفعه و همکاری با موسسات خیریه و کمک به رفاه عمومی جامعه با رعایت دستورالعمل حاکمیت شرکتی وتصویب سهامداران در مجمع عمومی عادی در طول سال انجام میگردد</w:t>
      </w:r>
      <w:r w:rsidRPr="006B165F">
        <w:rPr>
          <w:rFonts w:ascii="Arial" w:eastAsia="Times New Roman" w:hAnsi="Arial"/>
          <w:color w:val="333333"/>
          <w:sz w:val="24"/>
        </w:rPr>
        <w:t>.</w:t>
      </w:r>
    </w:p>
    <w:p w14:paraId="1FE5BE84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</w:rPr>
        <w:t> </w:t>
      </w:r>
      <w:r w:rsidRPr="006B165F">
        <w:rPr>
          <w:rFonts w:ascii="Arial" w:eastAsia="Times New Roman" w:hAnsi="Arial"/>
          <w:color w:val="333333"/>
          <w:sz w:val="24"/>
          <w:rtl/>
        </w:rPr>
        <w:t>ج- عملکرد اقتصادی</w:t>
      </w:r>
    </w:p>
    <w:p w14:paraId="4BC94EEE" w14:textId="77777777" w:rsidR="006B165F" w:rsidRDefault="006B165F" w:rsidP="00034E47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  <w:r w:rsidRPr="006B165F">
        <w:rPr>
          <w:rFonts w:ascii="Arial" w:eastAsia="Times New Roman" w:hAnsi="Arial"/>
          <w:color w:val="333333"/>
          <w:sz w:val="24"/>
          <w:rtl/>
        </w:rPr>
        <w:t>توسعه فعالیت‌های عملیاتی با به‌کارگیری کلیه ظرفیت‌های بازار سرمایه کشور ؛</w:t>
      </w:r>
    </w:p>
    <w:p w14:paraId="176EE461" w14:textId="18FD62F0" w:rsidR="00FD7307" w:rsidRPr="006B165F" w:rsidRDefault="006B165F" w:rsidP="006B165F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  <w:rtl/>
        </w:rPr>
      </w:pPr>
      <w:r w:rsidRPr="006B165F">
        <w:rPr>
          <w:rFonts w:ascii="Arial" w:eastAsia="Times New Roman" w:hAnsi="Arial"/>
          <w:color w:val="333333"/>
          <w:sz w:val="24"/>
        </w:rPr>
        <w:t xml:space="preserve"> </w:t>
      </w:r>
      <w:r w:rsidRPr="006B165F">
        <w:rPr>
          <w:rFonts w:ascii="Arial" w:eastAsia="Times New Roman" w:hAnsi="Arial"/>
          <w:color w:val="333333"/>
          <w:sz w:val="24"/>
          <w:rtl/>
        </w:rPr>
        <w:t>مدیریت مستمر ریسک‌های عملیاتی به منظور تقویت شاخص‌های ارزیابی عملکرد و نیز متناسب‌سازی ریسک عملیاتی با بازده مورد انتظار؛</w:t>
      </w:r>
    </w:p>
    <w:p w14:paraId="32E7202D" w14:textId="77777777" w:rsidR="006B165F" w:rsidRPr="006B165F" w:rsidRDefault="006B165F" w:rsidP="006B165F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Arial" w:eastAsia="Times New Roman" w:hAnsi="Arial"/>
          <w:color w:val="333333"/>
          <w:sz w:val="24"/>
        </w:rPr>
      </w:pPr>
    </w:p>
    <w:sectPr w:rsidR="006B165F" w:rsidRPr="006B165F" w:rsidSect="00AB2B74">
      <w:pgSz w:w="12240" w:h="15840"/>
      <w:pgMar w:top="117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60462"/>
    <w:multiLevelType w:val="hybridMultilevel"/>
    <w:tmpl w:val="CF266EE0"/>
    <w:lvl w:ilvl="0" w:tplc="2A624FA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1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9E"/>
    <w:rsid w:val="003B5F9E"/>
    <w:rsid w:val="006B165F"/>
    <w:rsid w:val="00765264"/>
    <w:rsid w:val="00AB2B74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DCD0"/>
  <w15:chartTrackingRefBased/>
  <w15:docId w15:val="{8ED35597-596B-48E5-A716-DE7AA611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64"/>
    <w:rPr>
      <w:rFonts w:ascii="Times New Roman" w:hAnsi="Times New Roman" w:cs="B Nazanin"/>
      <w:szCs w:val="24"/>
    </w:rPr>
  </w:style>
  <w:style w:type="paragraph" w:styleId="Heading6">
    <w:name w:val="heading 6"/>
    <w:basedOn w:val="Normal"/>
    <w:link w:val="Heading6Char"/>
    <w:uiPriority w:val="9"/>
    <w:qFormat/>
    <w:rsid w:val="006B165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B165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B165F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6B165F"/>
    <w:rPr>
      <w:b/>
      <w:bCs/>
    </w:rPr>
  </w:style>
  <w:style w:type="paragraph" w:styleId="ListParagraph">
    <w:name w:val="List Paragraph"/>
    <w:basedOn w:val="Normal"/>
    <w:uiPriority w:val="34"/>
    <w:qFormat/>
    <w:rsid w:val="006B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Eghbal Veysi</dc:creator>
  <cp:keywords/>
  <dc:description/>
  <cp:lastModifiedBy>Eghbal Veysi</cp:lastModifiedBy>
  <cp:revision>4</cp:revision>
  <dcterms:created xsi:type="dcterms:W3CDTF">2025-12-01T08:27:00Z</dcterms:created>
  <dcterms:modified xsi:type="dcterms:W3CDTF">2025-12-01T08:55:00Z</dcterms:modified>
</cp:coreProperties>
</file>